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rPr>
      </w:pPr>
    </w:p>
    <w:p>
      <w:pPr>
        <w:jc w:val="center"/>
        <w:rPr>
          <w:rFonts w:ascii="宋体" w:hAnsi="宋体"/>
          <w:b/>
          <w:sz w:val="44"/>
        </w:rPr>
      </w:pPr>
    </w:p>
    <w:p>
      <w:pPr>
        <w:rPr>
          <w:rFonts w:ascii="宋体" w:hAnsi="宋体"/>
          <w:b/>
          <w:sz w:val="32"/>
          <w:szCs w:val="32"/>
        </w:rPr>
      </w:pPr>
    </w:p>
    <w:p>
      <w:pPr>
        <w:jc w:val="center"/>
        <w:rPr>
          <w:rFonts w:ascii="宋体" w:hAnsi="宋体"/>
          <w:b/>
          <w:sz w:val="44"/>
        </w:rPr>
      </w:pPr>
    </w:p>
    <w:p>
      <w:pPr>
        <w:jc w:val="center"/>
        <w:rPr>
          <w:rFonts w:ascii="宋体" w:hAnsi="宋体"/>
          <w:b/>
          <w:sz w:val="44"/>
        </w:rPr>
      </w:pPr>
    </w:p>
    <w:p>
      <w:pPr>
        <w:jc w:val="center"/>
        <w:rPr>
          <w:rFonts w:ascii="宋体" w:hAnsi="宋体"/>
          <w:b/>
          <w:sz w:val="44"/>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hint="eastAsia"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鹤东政发〔20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号</w:t>
      </w:r>
    </w:p>
    <w:p>
      <w:pPr>
        <w:widowControl w:val="0"/>
        <w:wordWrap/>
        <w:adjustRightInd/>
        <w:snapToGrid/>
        <w:spacing w:line="560" w:lineRule="exact"/>
        <w:ind w:right="0"/>
        <w:jc w:val="center"/>
        <w:textAlignment w:val="auto"/>
        <w:rPr>
          <w:rFonts w:hint="eastAsia" w:ascii="方正小标宋简体" w:hAnsi="宋体" w:eastAsia="方正小标宋简体" w:cs="宋体"/>
          <w:bCs/>
          <w:sz w:val="44"/>
          <w:szCs w:val="44"/>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东山区人民政府关于印发</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东山区乡镇行政权力事项目录</w:t>
      </w:r>
      <w:r>
        <w:rPr>
          <w:rFonts w:hint="eastAsia" w:ascii="方正小标宋简体" w:hAnsi="方正小标宋简体" w:eastAsia="方正小标宋简体" w:cs="方正小标宋简体"/>
          <w:b w:val="0"/>
          <w:bCs w:val="0"/>
          <w:sz w:val="44"/>
          <w:szCs w:val="44"/>
        </w:rPr>
        <w:t>》的通知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outlineLvl w:val="9"/>
        <w:rPr>
          <w:rFonts w:hint="eastAsia" w:ascii="仿宋" w:hAnsi="仿宋" w:eastAsia="仿宋" w:cs="仿宋"/>
          <w:sz w:val="32"/>
          <w:szCs w:val="32"/>
        </w:rPr>
      </w:pPr>
      <w:bookmarkStart w:id="0" w:name="_GoBack"/>
      <w:r>
        <w:rPr>
          <w:rFonts w:hint="eastAsia" w:ascii="仿宋" w:hAnsi="仿宋" w:eastAsia="仿宋" w:cs="仿宋"/>
          <w:sz w:val="32"/>
          <w:szCs w:val="32"/>
          <w:lang w:eastAsia="zh-CN"/>
        </w:rPr>
        <w:t>各</w:t>
      </w:r>
      <w:r>
        <w:rPr>
          <w:rFonts w:hint="eastAsia" w:ascii="仿宋" w:hAnsi="仿宋" w:eastAsia="仿宋" w:cs="仿宋"/>
          <w:sz w:val="32"/>
          <w:szCs w:val="32"/>
        </w:rPr>
        <w:t>乡镇</w:t>
      </w:r>
      <w:r>
        <w:rPr>
          <w:rFonts w:hint="eastAsia" w:ascii="仿宋" w:hAnsi="仿宋" w:eastAsia="仿宋" w:cs="仿宋"/>
          <w:sz w:val="32"/>
          <w:szCs w:val="32"/>
          <w:lang w:eastAsia="zh-CN"/>
        </w:rPr>
        <w:t>、区属各相关部门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乡镇行政权力运行，强化对乡镇行政权力的监督制约，按照省、市部署要求，我区对各乡镇对行政权力事项进行了全面梳理，经区政府研究决定，现将《东山区乡镇行政权力事项目录》现予以公布。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一、严格执行权力事项目录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sz w:val="32"/>
          <w:szCs w:val="32"/>
          <w:lang w:val="en-US" w:eastAsia="zh-CN"/>
        </w:rPr>
        <w:sectPr>
          <w:pgSz w:w="11906" w:h="16838"/>
          <w:pgMar w:top="873" w:right="1135" w:bottom="1440" w:left="1135" w:header="851" w:footer="992" w:gutter="0"/>
          <w:pgNumType w:fmt="decimal"/>
          <w:cols w:space="720" w:num="1"/>
          <w:docGrid w:type="lines" w:linePitch="312" w:charSpace="0"/>
        </w:sectPr>
      </w:pPr>
      <w:r>
        <w:rPr>
          <w:rFonts w:hint="eastAsia" w:ascii="仿宋" w:hAnsi="仿宋" w:eastAsia="仿宋" w:cs="仿宋"/>
          <w:sz w:val="32"/>
          <w:szCs w:val="32"/>
          <w:lang w:val="en-US" w:eastAsia="zh-CN"/>
        </w:rPr>
        <w:t>经全面清理，乡镇人民政府行政权力事项共计49项，其中：行政许可7项、行政确认5项、行政监督检查5项、行政处罚4项、行政强制5项、行政征用1项、税费减免1项、行政裁决2项和其他行政权力19项。各乡镇人民政府要严格按照权力事项目录行使权力，切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做到法定职责必须为、法无授权不可为。对乡镇政府行政权力事项要进一步优化流程、简化程序、缩短时限，规范自由裁量权。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二、强化权力运行监督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各乡镇人民政府要健全监督制约机制，加强事中事后监管，强化对行政权力运行的监督。区政府要适时开展专项督查和评估，纠正有法不依、有令不行、有禁不止的现象。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三、实行动态调整管理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根据法律法规规章修订、职责调整等变化情况，对乡镇政府权力清单实行动态管理，及时调整完善。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附件：东山区乡镇行政权力事项目录</w:t>
      </w:r>
    </w:p>
    <w:bookmarkEnd w:id="0"/>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东山区人民政府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5440" w:firstLineChars="17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2020年6月12日</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rPr>
      </w:pP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270510</wp:posOffset>
                </wp:positionV>
                <wp:extent cx="5600700" cy="635"/>
                <wp:effectExtent l="0" t="9525" r="7620" b="1270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19050" cap="flat" cmpd="sng">
                          <a:solidFill>
                            <a:srgbClr val="00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21.3pt;height:0.05pt;width:441pt;z-index:251658240;mso-width-relative:page;mso-height-relative:page;" filled="f" stroked="t" coordsize="21600,21600" o:gfxdata="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lGnY1gAA&#10;AAgBAAAPAAAAAAAAAAEAIAAAACIAAABkcnMvZG93bnJldi54bWxQSwECFAAUAAAACACHTuJATak1&#10;8OcBAAC7AwAADgAAAAAAAAABACAAAAAlAQAAZHJzL2Uyb0RvYy54bWxQSwUGAAAAAAYABgBZAQAA&#10;fgUAAAAA&#10;">
                <v:fill on="f" focussize="0,0"/>
                <v:stroke weight="1.5pt" color="#000000" joinstyle="round"/>
                <v:imagedata o:title=""/>
                <o:lock v:ext="edit" aspectratio="f"/>
              </v:line>
            </w:pict>
          </mc:Fallback>
        </mc:AlternateContent>
      </w:r>
    </w:p>
    <w:p>
      <w:pPr>
        <w:ind w:firstLine="420" w:firstLineChars="200"/>
      </w:pP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344805</wp:posOffset>
                </wp:positionV>
                <wp:extent cx="5600700" cy="635"/>
                <wp:effectExtent l="0" t="9525" r="7620" b="1270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19050" cap="flat" cmpd="sng">
                          <a:solidFill>
                            <a:srgbClr val="00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27.15pt;height:0.05pt;width:441pt;z-index:251659264;mso-width-relative:page;mso-height-relative:page;" filled="f" stroked="t" coordsize="21600,21600" o:gfxdata="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oDrPTVAAAA&#10;CAEAAA8AAAAAAAAAAQAgAAAAIgAAAGRycy9kb3ducmV2LnhtbFBLAQIUABQAAAAIAIdO4kAT4RPm&#10;5wEAALsDAAAOAAAAAAAAAAEAIAAAACQBAABkcnMvZTJvRG9jLnhtbFBLBQYAAAAABgAGAFkBAAB9&#10;BQAAAAA=&#10;">
                <v:fill on="f" focussize="0,0"/>
                <v:stroke weight="1.5pt" color="#000000" joinstyle="round"/>
                <v:imagedata o:title=""/>
                <o:lock v:ext="edit" aspectratio="f"/>
              </v:line>
            </w:pict>
          </mc:Fallback>
        </mc:AlternateContent>
      </w:r>
      <w:r>
        <w:rPr>
          <w:rFonts w:hint="eastAsia" w:ascii="仿宋_GB2312" w:hAnsi="仿宋_GB2312" w:eastAsia="仿宋_GB2312"/>
          <w:sz w:val="28"/>
          <w:szCs w:val="28"/>
        </w:rPr>
        <w:t xml:space="preserve">东山区人民政府办公室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20</w:t>
      </w:r>
      <w:r>
        <w:rPr>
          <w:rFonts w:hint="eastAsia" w:ascii="仿宋_GB2312" w:hAnsi="仿宋_GB2312" w:eastAsia="仿宋_GB2312"/>
          <w:sz w:val="28"/>
          <w:szCs w:val="28"/>
          <w:lang w:val="en-US" w:eastAsia="zh-CN"/>
        </w:rPr>
        <w:t>20</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rPr>
        <w:t>日印发</w:t>
      </w:r>
    </w:p>
    <w:p>
      <w:pPr>
        <w:sectPr>
          <w:footerReference r:id="rId3" w:type="default"/>
          <w:pgSz w:w="11906" w:h="16838"/>
          <w:pgMar w:top="873" w:right="1135" w:bottom="1440" w:left="1135" w:header="851" w:footer="992" w:gutter="0"/>
          <w:pgNumType w:fmt="decimal" w:start="1"/>
          <w:cols w:space="720" w:num="1"/>
          <w:docGrid w:type="lines" w:linePitch="312" w:charSpace="0"/>
        </w:sectPr>
      </w:pPr>
      <w:r>
        <w:br w:type="page"/>
      </w:r>
    </w:p>
    <w:tbl>
      <w:tblPr>
        <w:tblStyle w:val="5"/>
        <w:tblW w:w="9504" w:type="dxa"/>
        <w:tblInd w:w="0" w:type="dxa"/>
        <w:shd w:val="clear" w:color="auto" w:fill="auto"/>
        <w:tblLayout w:type="fixed"/>
        <w:tblCellMar>
          <w:top w:w="0" w:type="dxa"/>
          <w:left w:w="0" w:type="dxa"/>
          <w:bottom w:w="0" w:type="dxa"/>
          <w:right w:w="0" w:type="dxa"/>
        </w:tblCellMar>
      </w:tblPr>
      <w:tblGrid>
        <w:gridCol w:w="648"/>
        <w:gridCol w:w="4488"/>
        <w:gridCol w:w="2184"/>
        <w:gridCol w:w="2184"/>
      </w:tblGrid>
      <w:tr>
        <w:tblPrEx>
          <w:shd w:val="clear" w:color="auto" w:fill="auto"/>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职权名称</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职权类型</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是否审核转报</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2B2B2B"/>
                <w:sz w:val="24"/>
                <w:szCs w:val="24"/>
                <w:u w:val="none"/>
              </w:rPr>
            </w:pPr>
            <w:r>
              <w:rPr>
                <w:rFonts w:hint="eastAsia" w:ascii="宋体" w:hAnsi="宋体" w:eastAsia="宋体" w:cs="宋体"/>
                <w:i w:val="0"/>
                <w:color w:val="2B2B2B"/>
                <w:kern w:val="0"/>
                <w:sz w:val="24"/>
                <w:szCs w:val="24"/>
                <w:u w:val="none"/>
                <w:lang w:val="en-US" w:eastAsia="zh-CN" w:bidi="ar"/>
              </w:rPr>
              <w:t>土地承包经营期内承包土地调整审批</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农村村民住宅用地审核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乡村公共设施、公益事业建设用地的审核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农村为村民设置公益性墓地的审核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在村庄、集镇规划区内修建临时建筑物、构筑物和其他设施的批准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乡村建设规划许可证核发的审核转报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农民集体所有的土地由本集体经济组织以外的单位或者个人承包经营批准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购买毒性中药的证明</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病残儿医学鉴定的审核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颁发、变更、换发、补发农村土地承包经营权证的审核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伤残抚恤对象残疾等级评定的审核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残疾等级评定审核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对流动人口用人单位计划生育工作的监督检查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行政监督检查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征地补偿安置补助费使用情况的监督</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行政监督检查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生产经营单位排查治理事故隐患工作监督管理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行政监督检查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消防安全检查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行政监督检查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基本农田保护管理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行政监督检查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对未按法律规定送子女或被监护人就学接受义务教育的处罚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对农村居民未经批准或者违反规划的规定建住宅的处罚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对损坏村庄和集镇的房屋、公共设施，破坏村容镇貌和环境卫生的处罚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对擅自在村庄、集镇规划区内的街道、广场、市场和车站等场所修建临时建筑物、构筑物和其他设施的处罚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未依法取得乡村建设规划许可证或者未按照乡村建设规划许可证的规定进行建设，责令停止建设、限期改正；逾期不改正拆除的行政强制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对在电力设施保护区内修建的建筑物、构筑物或者种植植物、堆放物品的强制拆除、砍伐或者清除的行政强制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非法种植毒品原植物处置的行政强制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地质灾害险情情况时强行紧急组织避免疏散的行政强制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防汛采取非常措施遇到阻拦和拖延时组织强制实施</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对应对突发事件征用单位和个人的财产</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行政征用</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农民占用耕地新建住宅耕地占用税免征或减征的审核</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税费减免</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个人之间、个人与单位之间土地权属争议裁决</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行政裁决</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个人之间、个人与单位之间林木所有权和林地使用权争议处理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行政裁决</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大型宗教活动的管理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农村土地承包合同及经营权流转合同的备案和管理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对新生儿在医疗保健机构以外地点死亡的核查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房屋租赁中介机构、房屋的出租（借）人和物业服务企业等有关组织或者个人未如实提供流动人口信息的责令改正、批评教育</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对五保供养服务不符合要求的责令限期改正及终止供养服务协议</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对畜牧养殖环境污染行为的制止处置</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对强迫农民以资代劳的责令改正</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对侵占、破坏学校体育场地、器材、设备的责令改正</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对不满16周岁的未成年人的父母或者其他监护人允许其被用人单位非法招用的批评教育</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对未按规划审批程序批准而取得建设用地责令退回</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开展突发水污染事故的应急准备、应急处置和事后恢复</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农产品质量安全事故处理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2B2B2B"/>
                <w:sz w:val="24"/>
                <w:szCs w:val="24"/>
                <w:u w:val="none"/>
              </w:rPr>
            </w:pPr>
            <w:r>
              <w:rPr>
                <w:rFonts w:hint="eastAsia" w:ascii="宋体" w:hAnsi="宋体" w:eastAsia="宋体" w:cs="宋体"/>
                <w:i w:val="0"/>
                <w:color w:val="2B2B2B"/>
                <w:kern w:val="0"/>
                <w:sz w:val="24"/>
                <w:szCs w:val="24"/>
                <w:u w:val="none"/>
                <w:lang w:val="en-US" w:eastAsia="zh-CN" w:bidi="ar"/>
              </w:rPr>
              <w:t>重大动物疫情应急处理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业主委员会备案</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未按规定送适龄儿童、少年入学接受义务教育批评教育，责令限期改正</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业主大会、业主委员会作出决定存在违法行为的责令整改</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村民委员会公布事项调查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新建、改建乡道用地审核 </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对危害文物保护单位安全、破坏文物保护单位历史风貌的建筑物、构筑物的调查处理</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bl>
    <w:p>
      <w:pPr>
        <w:pStyle w:val="2"/>
      </w:pPr>
    </w:p>
    <w:sectPr>
      <w:footerReference r:id="rId4" w:type="default"/>
      <w:pgSz w:w="11906" w:h="16838"/>
      <w:pgMar w:top="873" w:right="1135" w:bottom="1440" w:left="1135"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D0A04"/>
    <w:rsid w:val="0A2415ED"/>
    <w:rsid w:val="0F3349F8"/>
    <w:rsid w:val="35E461AE"/>
    <w:rsid w:val="56002CAF"/>
    <w:rsid w:val="5C9D56E5"/>
    <w:rsid w:val="6F3D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61"/>
    <w:basedOn w:val="6"/>
    <w:qFormat/>
    <w:uiPriority w:val="0"/>
    <w:rPr>
      <w:rFonts w:hint="eastAsia" w:ascii="方正小标宋简体" w:hAnsi="方正小标宋简体" w:eastAsia="方正小标宋简体" w:cs="方正小标宋简体"/>
      <w:color w:val="000000"/>
      <w:sz w:val="36"/>
      <w:szCs w:val="36"/>
      <w:u w:val="none"/>
    </w:rPr>
  </w:style>
  <w:style w:type="character" w:customStyle="1" w:styleId="8">
    <w:name w:val="font31"/>
    <w:basedOn w:val="6"/>
    <w:qFormat/>
    <w:uiPriority w:val="0"/>
    <w:rPr>
      <w:rFonts w:hint="eastAsia" w:ascii="宋体" w:hAnsi="宋体" w:eastAsia="宋体" w:cs="宋体"/>
      <w:color w:val="000000"/>
      <w:sz w:val="24"/>
      <w:szCs w:val="24"/>
      <w:u w:val="none"/>
    </w:rPr>
  </w:style>
  <w:style w:type="character" w:customStyle="1" w:styleId="9">
    <w:name w:val="font41"/>
    <w:basedOn w:val="6"/>
    <w:qFormat/>
    <w:uiPriority w:val="0"/>
    <w:rPr>
      <w:rFonts w:hint="eastAsia" w:ascii="宋体" w:hAnsi="宋体" w:eastAsia="宋体" w:cs="宋体"/>
      <w:b/>
      <w:color w:val="000000"/>
      <w:sz w:val="24"/>
      <w:szCs w:val="24"/>
      <w:u w:val="none"/>
    </w:rPr>
  </w:style>
  <w:style w:type="character" w:customStyle="1" w:styleId="10">
    <w:name w:val="font51"/>
    <w:basedOn w:val="6"/>
    <w:qFormat/>
    <w:uiPriority w:val="0"/>
    <w:rPr>
      <w:rFonts w:hint="eastAsia" w:ascii="宋体" w:hAnsi="宋体" w:eastAsia="宋体" w:cs="宋体"/>
      <w:color w:val="333333"/>
      <w:sz w:val="24"/>
      <w:szCs w:val="24"/>
      <w:u w:val="none"/>
    </w:rPr>
  </w:style>
  <w:style w:type="character" w:customStyle="1" w:styleId="11">
    <w:name w:val="font11"/>
    <w:basedOn w:val="6"/>
    <w:qFormat/>
    <w:uiPriority w:val="0"/>
    <w:rPr>
      <w:rFonts w:ascii="Arial" w:hAnsi="Arial" w:cs="Arial"/>
      <w:color w:val="333333"/>
      <w:sz w:val="24"/>
      <w:szCs w:val="24"/>
      <w:u w:val="none"/>
    </w:rPr>
  </w:style>
  <w:style w:type="character" w:customStyle="1" w:styleId="12">
    <w:name w:val="font81"/>
    <w:basedOn w:val="6"/>
    <w:qFormat/>
    <w:uiPriority w:val="0"/>
    <w:rPr>
      <w:rFonts w:hint="eastAsia" w:ascii="宋体" w:hAnsi="宋体" w:eastAsia="宋体" w:cs="宋体"/>
      <w:b/>
      <w:color w:val="333333"/>
      <w:sz w:val="24"/>
      <w:szCs w:val="24"/>
      <w:u w:val="none"/>
    </w:rPr>
  </w:style>
  <w:style w:type="character" w:customStyle="1" w:styleId="13">
    <w:name w:val="font01"/>
    <w:basedOn w:val="6"/>
    <w:qFormat/>
    <w:uiPriority w:val="0"/>
    <w:rPr>
      <w:rFonts w:hint="eastAsia" w:ascii="宋体" w:hAnsi="宋体" w:eastAsia="宋体" w:cs="宋体"/>
      <w:color w:val="FF0000"/>
      <w:sz w:val="24"/>
      <w:szCs w:val="24"/>
      <w:u w:val="none"/>
    </w:rPr>
  </w:style>
  <w:style w:type="character" w:customStyle="1" w:styleId="14">
    <w:name w:val="font71"/>
    <w:basedOn w:val="6"/>
    <w:qFormat/>
    <w:uiPriority w:val="0"/>
    <w:rPr>
      <w:rFonts w:hint="eastAsia" w:ascii="宋体" w:hAnsi="宋体" w:eastAsia="宋体" w:cs="宋体"/>
      <w:b/>
      <w:color w:val="000000"/>
      <w:sz w:val="24"/>
      <w:szCs w:val="24"/>
      <w:u w:val="none"/>
    </w:rPr>
  </w:style>
  <w:style w:type="character" w:customStyle="1" w:styleId="15">
    <w:name w:val="font1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2020-06-15T01:31:00Z</dcterms:created>
  <dc:creator>Administrator</dc:creator>
  <cp:lastModifiedBy>Administrator</cp:lastModifiedBy>
  <cp:lastPrinted>2020-06-16T01:01:58Z</cp:lastPrinted>
  <dcterms:modified xsi:type="dcterms:W3CDTF">2020-06-16T01:11:22Z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