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center"/>
        <w:rPr>
          <w:sz w:val="32"/>
          <w:szCs w:val="32"/>
        </w:rPr>
      </w:pPr>
      <w:r>
        <w:rPr>
          <w:color w:val="333333"/>
          <w:sz w:val="32"/>
          <w:szCs w:val="32"/>
          <w:shd w:val="clear" w:fill="FFFFFF"/>
        </w:rPr>
        <w:t>科技部 财政部 国家税务总局关于修订印发《高新技术企业认定管理工作指引》的通知</w:t>
      </w:r>
    </w:p>
    <w:p>
      <w:pPr>
        <w:keepNext w:val="0"/>
        <w:keepLines w:val="0"/>
        <w:widowControl/>
        <w:suppressLineNumbers w:val="0"/>
        <w:pBdr>
          <w:top w:val="single" w:color="E5E5E5" w:sz="2" w:space="0"/>
          <w:left w:val="single" w:color="E5E5E5" w:sz="2" w:space="0"/>
          <w:bottom w:val="single" w:color="E5E5E5" w:sz="2" w:space="0"/>
          <w:right w:val="single" w:color="E5E5E5" w:sz="2" w:space="0"/>
        </w:pBdr>
        <w:shd w:val="clear" w:fill="FFFFFF"/>
        <w:spacing w:before="0" w:beforeAutospacing="0" w:after="0" w:afterAutospacing="0" w:line="23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国科发火〔2016〕195号</w:t>
      </w:r>
    </w:p>
    <w:p>
      <w:pPr>
        <w:keepNext w:val="0"/>
        <w:keepLines w:val="0"/>
        <w:widowControl/>
        <w:suppressLineNumbers w:val="0"/>
        <w:pBdr>
          <w:top w:val="single" w:color="E5E5E5" w:sz="2" w:space="0"/>
          <w:left w:val="single" w:color="E5E5E5" w:sz="2" w:space="0"/>
          <w:bottom w:val="single" w:color="E5E5E5" w:sz="2" w:space="0"/>
          <w:right w:val="single" w:color="E5E5E5" w:sz="2" w:space="0"/>
        </w:pBdr>
        <w:shd w:val="clear" w:fill="FFFFFF"/>
        <w:spacing w:before="0" w:beforeAutospacing="0" w:after="0" w:afterAutospacing="0" w:line="23" w:lineRule="atLeast"/>
        <w:ind w:left="0" w:right="0"/>
        <w:jc w:val="righ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color w:val="FF000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全文有效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  成文日期：2016-06-22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各省、自治区、直辖市及计划单列市科技厅（委、局）、财政厅（局）、国家税务局、地方税务局：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   根据《高新技术企业认定管理办法》（国科发火〔2016〕32号，以下称《认定办法》）第二十一条的规定，现将《高新技术企业认定管理工作指引》（以下称《工作指引》）印发给你们，并就有关事项通知如下：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一、2016年1月1日前已按《高新技术企业认定管理办法》（国科发火〔2008〕172号，以下称2008版《认定办法》）认定的仍在有效期内的高新技术企业，其资格依然有效，可依照《企业所得税法》及其实施条例等有关规定享受企业所得税优惠政策。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二、按2008版《认定办法》认定的高新技术企业，在2015年12月31日前发生2008版《认定办法》第十五条规定情况，且有关部门在2015年12月31日前已经做出处罚决定的，仍按2008版《认定办法》相关规定进行处理，认定机构5年内不再受理企业认定申请的处罚执行至2015年12月31日止。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三、本指引自2016年1月1日起实施。原《高新技术企业认定管理工作指引》（国科发火〔2008〕362号）、《关于高新技术企业更名和复审等有关事项的通知》（国科火字〔2011〕123号）同时废止。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　　</w:t>
      </w:r>
      <w:bookmarkStart w:id="0" w:name="_GoBack"/>
      <w:r>
        <w:rPr>
          <w:rFonts w:hint="eastAsia" w:ascii="微软雅黑" w:hAnsi="微软雅黑" w:eastAsia="微软雅黑" w:cs="微软雅黑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sz w:val="24"/>
          <w:szCs w:val="24"/>
          <w:u w:val="none"/>
          <w:shd w:val="clear" w:fill="FFFFFF"/>
        </w:rPr>
        <w:instrText xml:space="preserve"> HYPERLINK "http://130.9.1.168/statute/statute/regulations/../../kindeditor/files/20211126/20211126162250_926.docx" </w:instrText>
      </w:r>
      <w:r>
        <w:rPr>
          <w:rFonts w:hint="eastAsia" w:ascii="微软雅黑" w:hAnsi="微软雅黑" w:eastAsia="微软雅黑" w:cs="微软雅黑"/>
          <w:sz w:val="24"/>
          <w:szCs w:val="24"/>
          <w:u w:val="none"/>
          <w:shd w:val="clear" w:fill="FFFFFF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sz w:val="24"/>
          <w:szCs w:val="24"/>
          <w:u w:val="none"/>
          <w:shd w:val="clear" w:fill="FFFFFF"/>
        </w:rPr>
        <w:t>高新技术企业认定管理工作指引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shd w:val="clear" w:fill="FFFFFF"/>
        </w:rPr>
        <w:fldChar w:fldCharType="end"/>
      </w:r>
    </w:p>
    <w:bookmarkEnd w:id="0"/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                       科技部  财政部  国家税务总局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fill="FFFFFF"/>
        </w:rPr>
        <w:t>                                      2016年6月22日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198C"/>
    <w:rsid w:val="7245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800080"/>
      <w:u w:val="none"/>
    </w:rPr>
  </w:style>
  <w:style w:type="character" w:styleId="7">
    <w:name w:val="HTML Definition"/>
    <w:basedOn w:val="5"/>
    <w:uiPriority w:val="0"/>
  </w:style>
  <w:style w:type="character" w:styleId="8">
    <w:name w:val="HTML Variable"/>
    <w:basedOn w:val="5"/>
    <w:uiPriority w:val="0"/>
  </w:style>
  <w:style w:type="character" w:styleId="9">
    <w:name w:val="Hyperlink"/>
    <w:basedOn w:val="5"/>
    <w:uiPriority w:val="0"/>
    <w:rPr>
      <w:color w:val="0000FF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</w:rPr>
  </w:style>
  <w:style w:type="character" w:styleId="11">
    <w:name w:val="HTML Cite"/>
    <w:basedOn w:val="5"/>
    <w:uiPriority w:val="0"/>
  </w:style>
  <w:style w:type="character" w:customStyle="1" w:styleId="12">
    <w:name w:val="bq"/>
    <w:basedOn w:val="5"/>
    <w:uiPriority w:val="0"/>
  </w:style>
  <w:style w:type="character" w:customStyle="1" w:styleId="13">
    <w:name w:val="first-child"/>
    <w:basedOn w:val="5"/>
    <w:uiPriority w:val="0"/>
    <w:rPr>
      <w:bdr w:val="none" w:color="auto" w:sz="0" w:space="0"/>
    </w:rPr>
  </w:style>
  <w:style w:type="character" w:customStyle="1" w:styleId="14">
    <w:name w:val="kind"/>
    <w:basedOn w:val="5"/>
    <w:uiPriority w:val="0"/>
    <w:rPr>
      <w:color w:val="336699"/>
      <w:bdr w:val="single" w:color="336699" w:sz="6" w:space="0"/>
    </w:rPr>
  </w:style>
  <w:style w:type="character" w:customStyle="1" w:styleId="15">
    <w:name w:val="time"/>
    <w:basedOn w:val="5"/>
    <w:uiPriority w:val="0"/>
    <w:rPr>
      <w:color w:val="999999"/>
      <w:sz w:val="21"/>
      <w:szCs w:val="21"/>
    </w:rPr>
  </w:style>
  <w:style w:type="character" w:customStyle="1" w:styleId="16">
    <w:name w:val="time1"/>
    <w:basedOn w:val="5"/>
    <w:uiPriority w:val="0"/>
    <w:rPr>
      <w:color w:val="999999"/>
      <w:sz w:val="21"/>
      <w:szCs w:val="21"/>
    </w:rPr>
  </w:style>
  <w:style w:type="character" w:customStyle="1" w:styleId="17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8">
    <w:name w:val="lastest"/>
    <w:basedOn w:val="5"/>
    <w:uiPriority w:val="0"/>
  </w:style>
  <w:style w:type="character" w:customStyle="1" w:styleId="19">
    <w:name w:val="sort"/>
    <w:basedOn w:val="5"/>
    <w:uiPriority w:val="0"/>
    <w:rPr>
      <w:rFonts w:ascii="华文楷体" w:hAnsi="华文楷体" w:eastAsia="华文楷体" w:cs="华文楷体"/>
      <w:color w:val="666666"/>
    </w:rPr>
  </w:style>
  <w:style w:type="character" w:customStyle="1" w:styleId="20">
    <w:name w:val="to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2021-12-17T02:25:00Z</dcterms:created>
  <dc:creator>李春雨</dc:creator>
  <cp:lastModifiedBy>李春雨</cp:lastModifiedBy>
  <dcterms:modified xsi:type="dcterms:W3CDTF">2021-12-17T02:29:29Z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